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20" w:rsidRDefault="000B5020" w:rsidP="000B5020">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0B5020" w:rsidRDefault="000B5020" w:rsidP="000B5020">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164/2016-JN</w:t>
      </w:r>
      <w:r>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y,. . . . . . . . . . . . . . . . . . . . . . . . . . </w:t>
      </w: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p>
    <w:p w:rsidR="000B5020" w:rsidRDefault="000B5020" w:rsidP="000B5020">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0B5020" w:rsidRDefault="000B5020" w:rsidP="000B5020">
      <w:pPr>
        <w:jc w:val="both"/>
        <w:rPr>
          <w:color w:val="767171" w:themeColor="background2" w:themeShade="80"/>
        </w:rPr>
      </w:pPr>
    </w:p>
    <w:p w:rsidR="000B5020" w:rsidRDefault="000B5020" w:rsidP="000B5020">
      <w:pPr>
        <w:pStyle w:val="Textoindependienteprimerasangra"/>
        <w:ind w:firstLine="0"/>
        <w:jc w:val="both"/>
        <w:rPr>
          <w:rFonts w:asciiTheme="minorHAnsi" w:hAnsiTheme="minorHAnsi" w:cstheme="minorHAnsi"/>
          <w:b/>
          <w:bCs/>
          <w:i/>
          <w:iCs/>
          <w:color w:val="767171" w:themeColor="background2" w:themeShade="80"/>
          <w:sz w:val="26"/>
          <w:szCs w:val="26"/>
        </w:rPr>
      </w:pP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lang w:val="es-MX"/>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bCs/>
          <w:color w:val="767171" w:themeColor="background2" w:themeShade="80"/>
          <w:sz w:val="26"/>
          <w:szCs w:val="26"/>
        </w:rPr>
        <w:t xml:space="preserve">. . . . . . . . . . . . . . . </w:t>
      </w:r>
    </w:p>
    <w:p w:rsidR="000B5020" w:rsidRDefault="000B5020" w:rsidP="000B5020">
      <w:pPr>
        <w:pStyle w:val="Textoindependienteprimerasangra"/>
        <w:jc w:val="both"/>
        <w:rPr>
          <w:rFonts w:asciiTheme="minorHAnsi" w:hAnsiTheme="minorHAnsi" w:cstheme="minorHAnsi"/>
          <w:b/>
          <w:i/>
          <w:iCs/>
          <w:color w:val="767171" w:themeColor="background2" w:themeShade="80"/>
          <w:sz w:val="26"/>
          <w:szCs w:val="26"/>
          <w:lang w:val="es-MX"/>
        </w:rPr>
      </w:pPr>
    </w:p>
    <w:p w:rsidR="000B5020" w:rsidRDefault="000B5020" w:rsidP="000B5020">
      <w:pPr>
        <w:pStyle w:val="Textoindependienteprimerasangra"/>
        <w:jc w:val="both"/>
        <w:rPr>
          <w:rFonts w:asciiTheme="minorHAnsi" w:hAnsiTheme="minorHAnsi" w:cstheme="minorHAnsi"/>
          <w:b/>
          <w:i/>
          <w:iCs/>
          <w:color w:val="767171" w:themeColor="background2" w:themeShade="80"/>
          <w:sz w:val="26"/>
          <w:szCs w:val="26"/>
          <w:lang w:val="es-MX"/>
        </w:rPr>
      </w:pPr>
    </w:p>
    <w:p w:rsidR="000B5020" w:rsidRDefault="000B5020" w:rsidP="000B5020">
      <w:pPr>
        <w:pStyle w:val="Textoindependienteprimerasangra"/>
        <w:jc w:val="both"/>
        <w:rPr>
          <w:rFonts w:asciiTheme="minorHAnsi" w:hAnsiTheme="minorHAnsi" w:cstheme="minorHAnsi"/>
          <w:b/>
          <w:i/>
          <w:iCs/>
          <w:color w:val="767171" w:themeColor="background2" w:themeShade="80"/>
          <w:sz w:val="26"/>
          <w:szCs w:val="26"/>
          <w:lang w:val="es-MX"/>
        </w:rPr>
      </w:pPr>
    </w:p>
    <w:p w:rsidR="000B5020" w:rsidRDefault="000B5020" w:rsidP="000B5020">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164/2016-JN</w:t>
      </w:r>
    </w:p>
    <w:p w:rsidR="000B5020" w:rsidRDefault="000B5020" w:rsidP="000B5020">
      <w:pPr>
        <w:pStyle w:val="Textoindependienteprimerasangra"/>
        <w:ind w:firstLine="708"/>
        <w:jc w:val="both"/>
        <w:rPr>
          <w:rFonts w:asciiTheme="minorHAnsi" w:hAnsiTheme="minorHAnsi" w:cstheme="minorHAnsi"/>
          <w:b/>
          <w:i/>
          <w:iCs/>
          <w:color w:val="767171" w:themeColor="background2" w:themeShade="80"/>
          <w:sz w:val="26"/>
          <w:szCs w:val="26"/>
        </w:rPr>
      </w:pP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 xml:space="preserve">GCA/1967/15 </w:t>
      </w:r>
      <w:r>
        <w:rPr>
          <w:rFonts w:asciiTheme="minorHAnsi" w:hAnsiTheme="minorHAnsi" w:cstheme="minorHAnsi"/>
          <w:color w:val="767171" w:themeColor="background2" w:themeShade="80"/>
          <w:sz w:val="26"/>
          <w:szCs w:val="26"/>
        </w:rPr>
        <w:t xml:space="preserve">de fecha 17 diecisiete de diciembre del año 2015 dos mil quince, mismo que aportado por el actor,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conforme al contenido del artículo 57 del Código antes citado. . . . . . . . . . . . . . . . . . . . . . . . . .</w:t>
      </w:r>
    </w:p>
    <w:p w:rsidR="000B5020" w:rsidRDefault="000B5020" w:rsidP="000B5020">
      <w:pPr>
        <w:pStyle w:val="Textoindependienteprimerasangra"/>
        <w:jc w:val="both"/>
        <w:rPr>
          <w:rFonts w:asciiTheme="minorHAnsi" w:hAnsiTheme="minorHAnsi" w:cstheme="minorHAnsi"/>
          <w:b/>
          <w:i/>
          <w:color w:val="767171" w:themeColor="background2" w:themeShade="80"/>
          <w:sz w:val="26"/>
          <w:szCs w:val="26"/>
        </w:rPr>
      </w:pP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0B5020" w:rsidRDefault="000B5020" w:rsidP="000B5020">
      <w:pPr>
        <w:pStyle w:val="Textoindependienteprimerasangra"/>
        <w:ind w:firstLine="0"/>
        <w:jc w:val="both"/>
        <w:rPr>
          <w:rFonts w:asciiTheme="minorHAnsi" w:hAnsiTheme="minorHAnsi" w:cstheme="minorHAnsi"/>
          <w:color w:val="767171" w:themeColor="background2" w:themeShade="80"/>
          <w:sz w:val="26"/>
          <w:szCs w:val="26"/>
        </w:rPr>
      </w:pP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actualizaban las causales de improcedencia, previstas en las fracciones I y VI del artículo 261 del Código de Procedimiento antes citado; toda vez </w:t>
      </w:r>
      <w:r>
        <w:rPr>
          <w:rFonts w:asciiTheme="minorHAnsi" w:hAnsiTheme="minorHAnsi" w:cstheme="minorHAnsi"/>
          <w:color w:val="767171" w:themeColor="background2" w:themeShade="80"/>
          <w:sz w:val="26"/>
          <w:szCs w:val="26"/>
        </w:rPr>
        <w:lastRenderedPageBreak/>
        <w:t>que el acto impugnado no afecta el interés jurídico del actor y, que dicho acto, no constituye un acto administrativo. . . . . . . . . . . . . . . . . . . . . . . . . . . . . . . . . . . . . .</w:t>
      </w: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0B5020" w:rsidRDefault="000B5020" w:rsidP="000B5020">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0B5020" w:rsidRDefault="000B5020" w:rsidP="000B5020">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proofErr w:type="gramStart"/>
      <w:r>
        <w:rPr>
          <w:rStyle w:val="nfasis"/>
          <w:b/>
          <w:color w:val="767171" w:themeColor="background2" w:themeShade="80"/>
          <w:sz w:val="20"/>
          <w:szCs w:val="20"/>
        </w:rPr>
        <w:t xml:space="preserve">” </w:t>
      </w:r>
      <w:r>
        <w:rPr>
          <w:rFonts w:asciiTheme="minorHAnsi" w:hAnsiTheme="minorHAnsi" w:cstheme="minorHAnsi"/>
          <w:bCs/>
          <w:color w:val="767171" w:themeColor="background2" w:themeShade="80"/>
        </w:rPr>
        <w:t>.</w:t>
      </w:r>
      <w:proofErr w:type="gramEnd"/>
      <w:r>
        <w:rPr>
          <w:rFonts w:asciiTheme="minorHAnsi" w:hAnsiTheme="minorHAnsi" w:cstheme="minorHAnsi"/>
          <w:bCs/>
          <w:color w:val="767171" w:themeColor="background2" w:themeShade="80"/>
        </w:rPr>
        <w:t xml:space="preserve"> . . . . . . . . . . . . . . . . . . . . . . . . . . . . . . . . . . . . </w:t>
      </w:r>
    </w:p>
    <w:p w:rsidR="000B5020" w:rsidRDefault="000B5020" w:rsidP="000B5020">
      <w:pPr>
        <w:pStyle w:val="Textoindependienteprimerasangra"/>
        <w:ind w:firstLine="0"/>
        <w:jc w:val="both"/>
        <w:rPr>
          <w:rFonts w:asciiTheme="minorHAnsi" w:hAnsiTheme="minorHAnsi" w:cstheme="minorHAnsi"/>
          <w:sz w:val="26"/>
          <w:szCs w:val="26"/>
        </w:rPr>
      </w:pP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 </w:t>
      </w: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w:t>
      </w:r>
      <w:r>
        <w:rPr>
          <w:rFonts w:asciiTheme="minorHAnsi" w:hAnsiTheme="minorHAnsi" w:cstheme="minorHAnsi"/>
          <w:bCs/>
          <w:color w:val="767171" w:themeColor="background2" w:themeShade="80"/>
          <w:sz w:val="26"/>
          <w:szCs w:val="26"/>
        </w:rPr>
        <w:t xml:space="preserve">. . . . . . . . . . . . . . . </w:t>
      </w:r>
    </w:p>
    <w:p w:rsidR="000B5020" w:rsidRDefault="000B5020" w:rsidP="000B5020">
      <w:pPr>
        <w:pStyle w:val="Sangra3detindependiente"/>
        <w:rPr>
          <w:rFonts w:asciiTheme="minorHAnsi" w:hAnsiTheme="minorHAnsi" w:cstheme="minorHAnsi"/>
          <w:b/>
          <w:bCs/>
          <w:i/>
          <w:iCs/>
          <w:color w:val="767171" w:themeColor="background2" w:themeShade="80"/>
          <w:sz w:val="20"/>
          <w:szCs w:val="20"/>
        </w:rPr>
      </w:pPr>
    </w:p>
    <w:p w:rsidR="000B5020" w:rsidRDefault="000B5020" w:rsidP="000B5020">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0B5020" w:rsidRDefault="000B5020" w:rsidP="000B5020">
      <w:pPr>
        <w:jc w:val="both"/>
        <w:rPr>
          <w:rFonts w:ascii="Calibri" w:hAnsi="Calibri"/>
          <w:color w:val="767171" w:themeColor="background2" w:themeShade="80"/>
          <w:sz w:val="26"/>
        </w:rPr>
      </w:pPr>
    </w:p>
    <w:p w:rsidR="000B5020" w:rsidRDefault="000B5020" w:rsidP="000B5020">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bCs/>
          <w:color w:val="767171" w:themeColor="background2" w:themeShade="80"/>
          <w:sz w:val="26"/>
          <w:szCs w:val="26"/>
        </w:rPr>
        <w:t xml:space="preserve">. . . . . . . . . </w:t>
      </w:r>
    </w:p>
    <w:p w:rsidR="000B5020" w:rsidRDefault="000B5020" w:rsidP="000B5020">
      <w:pPr>
        <w:jc w:val="both"/>
        <w:rPr>
          <w:rFonts w:ascii="Calibri" w:hAnsi="Calibri"/>
          <w:color w:val="767171" w:themeColor="background2" w:themeShade="80"/>
          <w:sz w:val="26"/>
        </w:rPr>
      </w:pPr>
    </w:p>
    <w:p w:rsidR="000B5020" w:rsidRDefault="000B5020" w:rsidP="000B5020">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 xml:space="preserve">A lo peticionado por el actor, el Gerente de Calidad del Agua del Sistema de Agua Potable y Alcantarillado de León, Guanajuato, emitió el oficio </w:t>
      </w:r>
      <w:r>
        <w:rPr>
          <w:rFonts w:asciiTheme="minorHAnsi" w:hAnsiTheme="minorHAnsi" w:cstheme="minorHAnsi"/>
          <w:color w:val="767171" w:themeColor="background2" w:themeShade="80"/>
          <w:sz w:val="26"/>
          <w:szCs w:val="26"/>
        </w:rPr>
        <w:t>GCA/1967/15</w:t>
      </w:r>
      <w:r>
        <w:rPr>
          <w:rFonts w:asciiTheme="minorHAnsi" w:hAnsiTheme="minorHAnsi" w:cstheme="minorHAnsi"/>
          <w:b/>
          <w:color w:val="767171" w:themeColor="background2" w:themeShade="80"/>
          <w:sz w:val="26"/>
          <w:szCs w:val="26"/>
        </w:rPr>
        <w:t xml:space="preserve"> </w:t>
      </w:r>
      <w:r>
        <w:rPr>
          <w:rFonts w:ascii="Calibri" w:hAnsi="Calibri"/>
          <w:color w:val="767171" w:themeColor="background2" w:themeShade="80"/>
          <w:sz w:val="26"/>
        </w:rPr>
        <w:t>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r>
        <w:rPr>
          <w:rFonts w:asciiTheme="minorHAnsi" w:hAnsiTheme="minorHAnsi" w:cstheme="minorHAnsi"/>
          <w:bCs/>
          <w:color w:val="767171" w:themeColor="background2" w:themeShade="80"/>
          <w:sz w:val="26"/>
          <w:szCs w:val="26"/>
        </w:rPr>
        <w:t xml:space="preserve">. . . . . . . . . . . . . . . . . . . . . </w:t>
      </w:r>
    </w:p>
    <w:p w:rsidR="000B5020" w:rsidRDefault="000B5020" w:rsidP="000B5020">
      <w:pPr>
        <w:jc w:val="both"/>
        <w:rPr>
          <w:rFonts w:ascii="Calibri" w:hAnsi="Calibri"/>
          <w:color w:val="767171" w:themeColor="background2" w:themeShade="80"/>
          <w:sz w:val="26"/>
        </w:rPr>
      </w:pPr>
    </w:p>
    <w:p w:rsidR="000B5020" w:rsidRDefault="000B5020" w:rsidP="000B5020">
      <w:pPr>
        <w:ind w:firstLine="708"/>
        <w:jc w:val="both"/>
        <w:rPr>
          <w:rFonts w:ascii="Calibri" w:hAnsi="Calibri"/>
          <w:color w:val="767171" w:themeColor="background2" w:themeShade="80"/>
          <w:sz w:val="26"/>
        </w:rPr>
      </w:pPr>
    </w:p>
    <w:p w:rsidR="000B5020" w:rsidRDefault="000B5020" w:rsidP="000B5020">
      <w:pPr>
        <w:ind w:firstLine="708"/>
        <w:jc w:val="both"/>
        <w:rPr>
          <w:rFonts w:ascii="Calibri" w:hAnsi="Calibri"/>
          <w:color w:val="767171" w:themeColor="background2" w:themeShade="80"/>
          <w:sz w:val="26"/>
        </w:rPr>
      </w:pPr>
    </w:p>
    <w:p w:rsidR="000B5020" w:rsidRDefault="000B5020" w:rsidP="000B5020">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164/2016-JN</w:t>
      </w:r>
    </w:p>
    <w:p w:rsidR="000B5020" w:rsidRDefault="000B5020" w:rsidP="000B5020">
      <w:pPr>
        <w:ind w:firstLine="708"/>
        <w:jc w:val="both"/>
        <w:rPr>
          <w:rFonts w:ascii="Calibri" w:hAnsi="Calibri"/>
          <w:color w:val="767171" w:themeColor="background2" w:themeShade="80"/>
          <w:sz w:val="26"/>
        </w:rPr>
      </w:pPr>
    </w:p>
    <w:p w:rsidR="000B5020" w:rsidRDefault="000B5020" w:rsidP="000B5020">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0B5020" w:rsidRDefault="000B5020" w:rsidP="000B5020">
      <w:pPr>
        <w:jc w:val="both"/>
        <w:rPr>
          <w:rFonts w:ascii="Calibri" w:hAnsi="Calibri"/>
          <w:color w:val="767171" w:themeColor="background2" w:themeShade="80"/>
          <w:sz w:val="26"/>
        </w:rPr>
      </w:pPr>
    </w:p>
    <w:p w:rsidR="000B5020" w:rsidRDefault="000B5020" w:rsidP="000B5020">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0B5020" w:rsidRDefault="000B5020" w:rsidP="000B5020">
      <w:pPr>
        <w:ind w:firstLine="708"/>
        <w:jc w:val="both"/>
        <w:rPr>
          <w:rFonts w:ascii="Calibri" w:hAnsi="Calibri"/>
          <w:color w:val="767171" w:themeColor="background2" w:themeShade="80"/>
          <w:sz w:val="26"/>
          <w:lang w:val="es-MX"/>
        </w:rPr>
      </w:pPr>
    </w:p>
    <w:p w:rsidR="000B5020" w:rsidRDefault="000B5020" w:rsidP="000B5020">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w:t>
      </w:r>
      <w:r>
        <w:rPr>
          <w:rFonts w:asciiTheme="minorHAnsi" w:hAnsiTheme="minorHAnsi" w:cstheme="minorHAnsi"/>
          <w:color w:val="767171" w:themeColor="background2" w:themeShade="80"/>
          <w:sz w:val="26"/>
          <w:szCs w:val="26"/>
        </w:rPr>
        <w:t>GCA/1967/15</w:t>
      </w:r>
      <w:r>
        <w:rPr>
          <w:rFonts w:ascii="Calibri" w:hAnsi="Calibri"/>
          <w:color w:val="767171" w:themeColor="background2" w:themeShade="80"/>
          <w:sz w:val="26"/>
        </w:rPr>
        <w:t xml:space="preserve">, de fecha 17 diecisiete de diciembre del año 2015 dos mil quince. . . . . . . . . . . . . . . . . . . . . . . . . . . . . . . . . . . </w:t>
      </w:r>
      <w:r>
        <w:rPr>
          <w:rFonts w:asciiTheme="minorHAnsi" w:hAnsiTheme="minorHAnsi" w:cstheme="minorHAnsi"/>
          <w:color w:val="767171" w:themeColor="background2" w:themeShade="80"/>
          <w:sz w:val="26"/>
          <w:szCs w:val="26"/>
        </w:rPr>
        <w:t>. . . . . . . . . . . . . . . . .</w:t>
      </w:r>
    </w:p>
    <w:p w:rsidR="000B5020" w:rsidRDefault="000B5020" w:rsidP="000B5020">
      <w:pPr>
        <w:ind w:firstLine="708"/>
        <w:jc w:val="both"/>
        <w:rPr>
          <w:rFonts w:ascii="Calibri" w:hAnsi="Calibri"/>
          <w:color w:val="767171" w:themeColor="background2" w:themeShade="80"/>
          <w:sz w:val="26"/>
        </w:rPr>
      </w:pPr>
    </w:p>
    <w:p w:rsidR="000B5020" w:rsidRDefault="000B5020" w:rsidP="000B5020">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lastRenderedPageBreak/>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escrito de demanda; sin necesidad de transcribirlo en su totalidad, sirviendo para ello el criterio sostenido por el Tribunal Colegiado de Circuito del Poder Judicial de la Federación, en la siguiente Jurisprudencia: . . . . . . . . . . . . . . . . . . . . .. </w:t>
      </w:r>
    </w:p>
    <w:p w:rsidR="000B5020" w:rsidRDefault="000B5020" w:rsidP="000B5020">
      <w:pPr>
        <w:pStyle w:val="NormalWeb"/>
        <w:spacing w:before="0" w:beforeAutospacing="0" w:after="0" w:afterAutospacing="0"/>
        <w:rPr>
          <w:color w:val="767171" w:themeColor="background2" w:themeShade="80"/>
          <w:lang w:val="es-ES"/>
        </w:rPr>
      </w:pPr>
    </w:p>
    <w:p w:rsidR="000B5020" w:rsidRDefault="000B5020" w:rsidP="000B5020">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0B5020" w:rsidRDefault="000B5020" w:rsidP="000B5020"/>
    <w:p w:rsidR="000B5020" w:rsidRDefault="000B5020" w:rsidP="000B5020">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0B5020" w:rsidRDefault="000B5020" w:rsidP="000B5020">
      <w:pPr>
        <w:jc w:val="both"/>
        <w:rPr>
          <w:rFonts w:asciiTheme="minorHAnsi" w:hAnsiTheme="minorHAnsi" w:cstheme="minorHAnsi"/>
          <w:color w:val="767171" w:themeColor="background2" w:themeShade="80"/>
          <w:sz w:val="26"/>
          <w:szCs w:val="26"/>
        </w:rPr>
      </w:pPr>
    </w:p>
    <w:p w:rsidR="000B5020" w:rsidRDefault="000B5020" w:rsidP="000B5020">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0B5020" w:rsidRDefault="000B5020" w:rsidP="000B5020">
      <w:pPr>
        <w:pStyle w:val="Sangra3detindependiente"/>
        <w:rPr>
          <w:rFonts w:asciiTheme="minorHAnsi" w:hAnsiTheme="minorHAnsi" w:cstheme="minorHAnsi"/>
          <w:color w:val="767171" w:themeColor="background2" w:themeShade="80"/>
        </w:rPr>
      </w:pPr>
    </w:p>
    <w:p w:rsidR="000B5020" w:rsidRDefault="000B5020" w:rsidP="000B5020">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w:t>
      </w:r>
      <w:r>
        <w:rPr>
          <w:rFonts w:asciiTheme="minorHAnsi" w:hAnsiTheme="minorHAnsi" w:cstheme="minorHAnsi"/>
          <w:color w:val="767171" w:themeColor="background2" w:themeShade="80"/>
          <w:sz w:val="26"/>
          <w:szCs w:val="26"/>
        </w:rPr>
        <w:t>GCA/1967/15</w:t>
      </w:r>
      <w:r>
        <w:rPr>
          <w:rFonts w:ascii="Calibri" w:hAnsi="Calibri"/>
          <w:bCs/>
          <w:color w:val="767171" w:themeColor="background2" w:themeShade="80"/>
          <w:sz w:val="26"/>
        </w:rPr>
        <w:t xml:space="preserve">,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0B5020" w:rsidRDefault="000B5020" w:rsidP="000B5020">
      <w:pPr>
        <w:ind w:firstLine="708"/>
        <w:jc w:val="both"/>
        <w:rPr>
          <w:rFonts w:ascii="Calibri" w:hAnsi="Calibri"/>
          <w:bCs/>
          <w:color w:val="767171" w:themeColor="background2" w:themeShade="80"/>
          <w:sz w:val="26"/>
        </w:rPr>
      </w:pPr>
    </w:p>
    <w:p w:rsidR="000B5020" w:rsidRDefault="000B5020" w:rsidP="000B5020">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w:t>
      </w:r>
      <w:r>
        <w:rPr>
          <w:rFonts w:ascii="Calibri" w:hAnsi="Calibri"/>
          <w:bCs/>
          <w:color w:val="767171" w:themeColor="background2" w:themeShade="80"/>
          <w:sz w:val="26"/>
        </w:rPr>
        <w:lastRenderedPageBreak/>
        <w:t xml:space="preserve">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0B5020" w:rsidRDefault="000B5020" w:rsidP="000B5020">
      <w:pPr>
        <w:jc w:val="both"/>
        <w:rPr>
          <w:rFonts w:ascii="Calibri" w:hAnsi="Calibri"/>
          <w:bCs/>
          <w:color w:val="767171" w:themeColor="background2" w:themeShade="80"/>
          <w:sz w:val="26"/>
        </w:rPr>
      </w:pPr>
    </w:p>
    <w:p w:rsidR="000B5020" w:rsidRDefault="000B5020" w:rsidP="000B5020">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0B5020" w:rsidRDefault="000B5020" w:rsidP="000B5020">
      <w:pPr>
        <w:jc w:val="both"/>
        <w:rPr>
          <w:rFonts w:ascii="Calibri" w:hAnsi="Calibri"/>
          <w:bCs/>
          <w:color w:val="767171" w:themeColor="background2" w:themeShade="80"/>
          <w:sz w:val="26"/>
        </w:rPr>
      </w:pPr>
    </w:p>
    <w:p w:rsidR="000B5020" w:rsidRDefault="000B5020" w:rsidP="000B5020">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 xml:space="preserve">oficio </w:t>
      </w:r>
      <w:r>
        <w:rPr>
          <w:rFonts w:asciiTheme="minorHAnsi" w:hAnsiTheme="minorHAnsi" w:cstheme="minorHAnsi"/>
          <w:b/>
          <w:color w:val="767171" w:themeColor="background2" w:themeShade="80"/>
          <w:sz w:val="26"/>
          <w:szCs w:val="26"/>
        </w:rPr>
        <w:t>GCA/1967/15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bCs/>
          <w:color w:val="767171" w:themeColor="background2" w:themeShade="80"/>
          <w:sz w:val="26"/>
          <w:szCs w:val="26"/>
        </w:rPr>
        <w:t xml:space="preserve">. . . . . . . . . . . . . . . . </w:t>
      </w:r>
    </w:p>
    <w:p w:rsidR="000B5020" w:rsidRDefault="000B5020" w:rsidP="000B5020">
      <w:pPr>
        <w:ind w:firstLine="708"/>
        <w:jc w:val="both"/>
        <w:rPr>
          <w:rFonts w:ascii="Calibri" w:hAnsi="Calibri" w:cs="Calibri"/>
          <w:color w:val="767171" w:themeColor="background2" w:themeShade="80"/>
          <w:sz w:val="26"/>
          <w:szCs w:val="26"/>
        </w:rPr>
      </w:pPr>
    </w:p>
    <w:p w:rsidR="000B5020" w:rsidRDefault="000B5020" w:rsidP="000B502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w:t>
      </w:r>
    </w:p>
    <w:p w:rsidR="000B5020" w:rsidRDefault="000B5020" w:rsidP="000B5020">
      <w:pPr>
        <w:pStyle w:val="Textoindependiente"/>
        <w:rPr>
          <w:rFonts w:ascii="Calibri" w:hAnsi="Calibri"/>
          <w:color w:val="767171" w:themeColor="background2" w:themeShade="80"/>
        </w:rPr>
      </w:pPr>
    </w:p>
    <w:p w:rsidR="000B5020" w:rsidRDefault="000B5020" w:rsidP="000B5020">
      <w:pPr>
        <w:pStyle w:val="Textoindependiente"/>
        <w:ind w:firstLine="708"/>
        <w:rPr>
          <w:rFonts w:ascii="Calibri" w:hAnsi="Calibri" w:cs="Goudy"/>
          <w:i/>
          <w:iCs/>
          <w:color w:val="767171" w:themeColor="background2" w:themeShade="80"/>
          <w:sz w:val="27"/>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w:t>
      </w:r>
    </w:p>
    <w:p w:rsidR="000B5020" w:rsidRDefault="000B5020" w:rsidP="000B5020">
      <w:pPr>
        <w:pStyle w:val="Textoindependienteprimerasangra"/>
        <w:ind w:firstLine="708"/>
        <w:jc w:val="right"/>
        <w:rPr>
          <w:rFonts w:asciiTheme="minorHAnsi" w:hAnsiTheme="minorHAnsi" w:cstheme="minorHAnsi"/>
          <w:b/>
          <w:color w:val="767171" w:themeColor="background2" w:themeShade="80"/>
          <w:sz w:val="26"/>
          <w:szCs w:val="26"/>
        </w:rPr>
      </w:pPr>
    </w:p>
    <w:p w:rsidR="000B5020" w:rsidRDefault="000B5020" w:rsidP="000B5020">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164/2016-JN</w:t>
      </w:r>
    </w:p>
    <w:p w:rsidR="000B5020" w:rsidRDefault="000B5020" w:rsidP="000B5020">
      <w:pPr>
        <w:pStyle w:val="Textoindependiente"/>
        <w:rPr>
          <w:rFonts w:ascii="Calibri" w:hAnsi="Calibri" w:cs="Goudy"/>
          <w:i/>
          <w:iCs/>
          <w:color w:val="767171" w:themeColor="background2" w:themeShade="80"/>
          <w:sz w:val="27"/>
          <w:szCs w:val="26"/>
        </w:rPr>
      </w:pPr>
    </w:p>
    <w:p w:rsidR="000B5020" w:rsidRDefault="000B5020" w:rsidP="000B5020">
      <w:pPr>
        <w:pStyle w:val="Textoindependiente"/>
        <w:rPr>
          <w:rFonts w:ascii="Calibri" w:hAnsi="Calibri"/>
          <w:color w:val="767171" w:themeColor="background2" w:themeShade="80"/>
          <w:sz w:val="26"/>
          <w:szCs w:val="26"/>
        </w:rPr>
      </w:pPr>
      <w:proofErr w:type="gramStart"/>
      <w:r>
        <w:rPr>
          <w:rFonts w:ascii="Calibri" w:hAnsi="Calibri" w:cs="Goudy"/>
          <w:i/>
          <w:iCs/>
          <w:color w:val="767171" w:themeColor="background2" w:themeShade="80"/>
          <w:sz w:val="27"/>
          <w:szCs w:val="26"/>
        </w:rPr>
        <w:t>cometida</w:t>
      </w:r>
      <w:proofErr w:type="gramEnd"/>
      <w:r>
        <w:rPr>
          <w:rFonts w:ascii="Calibri" w:hAnsi="Calibri" w:cs="Goudy"/>
          <w:i/>
          <w:iCs/>
          <w:color w:val="767171" w:themeColor="background2" w:themeShade="80"/>
          <w:sz w:val="27"/>
          <w:szCs w:val="26"/>
        </w:rPr>
        <w:t xml:space="preserve">, cuando dicho acto se haya dictado en respuesta al ejercicio del derecho de petición, ya que, en esta hipótesis, es preciso que el acto sin fundamentación y </w:t>
      </w:r>
      <w:r>
        <w:rPr>
          <w:rFonts w:ascii="Calibri" w:hAnsi="Calibri" w:cs="Goudy"/>
          <w:i/>
          <w:iCs/>
          <w:color w:val="767171" w:themeColor="background2" w:themeShade="80"/>
          <w:sz w:val="27"/>
          <w:szCs w:val="26"/>
        </w:rPr>
        <w:lastRenderedPageBreak/>
        <w:t xml:space="preserve">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0B5020" w:rsidRDefault="000B5020" w:rsidP="000B5020">
      <w:pPr>
        <w:jc w:val="both"/>
        <w:rPr>
          <w:rFonts w:asciiTheme="minorHAnsi" w:hAnsiTheme="minorHAnsi" w:cstheme="minorHAnsi"/>
          <w:color w:val="767171" w:themeColor="background2" w:themeShade="80"/>
          <w:sz w:val="26"/>
          <w:szCs w:val="26"/>
        </w:rPr>
      </w:pPr>
    </w:p>
    <w:p w:rsidR="000B5020" w:rsidRDefault="000B5020" w:rsidP="000B502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0B5020" w:rsidRDefault="000B5020" w:rsidP="000B5020">
      <w:pPr>
        <w:pStyle w:val="Normal0"/>
        <w:jc w:val="both"/>
        <w:rPr>
          <w:rFonts w:asciiTheme="minorHAnsi" w:hAnsiTheme="minorHAnsi" w:cstheme="minorHAnsi"/>
          <w:color w:val="767171" w:themeColor="background2" w:themeShade="80"/>
          <w:sz w:val="26"/>
          <w:szCs w:val="26"/>
        </w:rPr>
      </w:pPr>
    </w:p>
    <w:p w:rsidR="000B5020" w:rsidRDefault="000B5020" w:rsidP="000B5020">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bCs/>
          <w:color w:val="767171" w:themeColor="background2" w:themeShade="80"/>
          <w:sz w:val="26"/>
          <w:szCs w:val="26"/>
        </w:rPr>
        <w:t xml:space="preserve"> . . . . . . . . . . . . . . . . . . . . . </w:t>
      </w:r>
    </w:p>
    <w:p w:rsidR="000B5020" w:rsidRDefault="000B5020" w:rsidP="000B5020">
      <w:pPr>
        <w:pStyle w:val="Textoindependienteprimerasangra"/>
        <w:ind w:firstLine="0"/>
        <w:jc w:val="both"/>
        <w:rPr>
          <w:rFonts w:asciiTheme="minorHAnsi" w:hAnsiTheme="minorHAnsi" w:cstheme="minorHAnsi"/>
          <w:i/>
          <w:color w:val="767171" w:themeColor="background2" w:themeShade="80"/>
          <w:sz w:val="26"/>
          <w:szCs w:val="26"/>
        </w:rPr>
      </w:pP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w:t>
      </w:r>
      <w:r>
        <w:rPr>
          <w:rFonts w:asciiTheme="minorHAnsi" w:hAnsiTheme="minorHAnsi" w:cstheme="minorHAnsi"/>
          <w:bCs/>
          <w:color w:val="767171" w:themeColor="background2" w:themeShade="80"/>
          <w:sz w:val="26"/>
          <w:szCs w:val="26"/>
        </w:rPr>
        <w:t xml:space="preserve">. . . . . . . . . . . . . . . . </w:t>
      </w:r>
    </w:p>
    <w:p w:rsidR="000B5020" w:rsidRDefault="000B5020" w:rsidP="000B5020">
      <w:pPr>
        <w:pStyle w:val="Textoindependienteprimerasangra"/>
        <w:ind w:firstLine="708"/>
        <w:jc w:val="both"/>
        <w:rPr>
          <w:rFonts w:asciiTheme="minorHAnsi" w:hAnsiTheme="minorHAnsi" w:cstheme="minorHAnsi"/>
          <w:color w:val="767171" w:themeColor="background2" w:themeShade="80"/>
          <w:sz w:val="20"/>
          <w:szCs w:val="20"/>
        </w:rPr>
      </w:pPr>
    </w:p>
    <w:p w:rsidR="000B5020" w:rsidRDefault="000B5020" w:rsidP="000B5020">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0B5020" w:rsidRDefault="000B5020" w:rsidP="000B5020">
      <w:pPr>
        <w:jc w:val="both"/>
        <w:rPr>
          <w:color w:val="767171" w:themeColor="background2" w:themeShade="80"/>
          <w:sz w:val="20"/>
          <w:szCs w:val="20"/>
        </w:rPr>
      </w:pPr>
    </w:p>
    <w:p w:rsidR="000B5020" w:rsidRDefault="000B5020" w:rsidP="000B5020">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0B5020" w:rsidRDefault="000B5020" w:rsidP="000B5020">
      <w:pPr>
        <w:pStyle w:val="Textoindependienteprimerasangra"/>
        <w:jc w:val="both"/>
        <w:rPr>
          <w:rFonts w:asciiTheme="minorHAnsi" w:hAnsiTheme="minorHAnsi" w:cstheme="minorHAnsi"/>
          <w:color w:val="767171" w:themeColor="background2" w:themeShade="80"/>
          <w:sz w:val="20"/>
          <w:szCs w:val="20"/>
        </w:rPr>
      </w:pPr>
    </w:p>
    <w:p w:rsidR="000B5020" w:rsidRDefault="000B5020" w:rsidP="000B5020">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 en contra del oficio impugnado. . . . . . . </w:t>
      </w:r>
    </w:p>
    <w:p w:rsidR="000B5020" w:rsidRDefault="000B5020" w:rsidP="000B5020">
      <w:pPr>
        <w:pStyle w:val="Textoindependienteprimerasangra"/>
        <w:jc w:val="both"/>
        <w:rPr>
          <w:rFonts w:asciiTheme="minorHAnsi" w:hAnsiTheme="minorHAnsi" w:cstheme="minorHAnsi"/>
          <w:b/>
          <w:bCs/>
          <w:i/>
          <w:iCs/>
          <w:color w:val="767171" w:themeColor="background2" w:themeShade="80"/>
          <w:sz w:val="20"/>
          <w:szCs w:val="20"/>
        </w:rPr>
      </w:pPr>
    </w:p>
    <w:p w:rsidR="000B5020" w:rsidRDefault="000B5020" w:rsidP="000B5020">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GCA/1967/15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 . . . </w:t>
      </w:r>
      <w:r>
        <w:rPr>
          <w:rFonts w:asciiTheme="minorHAnsi" w:hAnsiTheme="minorHAnsi" w:cstheme="minorHAnsi"/>
          <w:bCs/>
          <w:color w:val="767171" w:themeColor="background2" w:themeShade="80"/>
          <w:sz w:val="26"/>
          <w:szCs w:val="26"/>
        </w:rPr>
        <w:t xml:space="preserve">. </w:t>
      </w:r>
    </w:p>
    <w:p w:rsidR="000B5020" w:rsidRDefault="000B5020" w:rsidP="000B5020">
      <w:pPr>
        <w:pStyle w:val="Textoindependienteprimerasangra"/>
        <w:ind w:firstLine="0"/>
        <w:jc w:val="both"/>
        <w:rPr>
          <w:rFonts w:asciiTheme="minorHAnsi" w:hAnsiTheme="minorHAnsi" w:cstheme="minorHAnsi"/>
          <w:b/>
          <w:bCs/>
          <w:i/>
          <w:iCs/>
          <w:color w:val="767171" w:themeColor="background2" w:themeShade="80"/>
          <w:sz w:val="20"/>
          <w:szCs w:val="20"/>
        </w:rPr>
      </w:pPr>
    </w:p>
    <w:p w:rsidR="000B5020" w:rsidRDefault="000B5020" w:rsidP="000B5020">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0B5020" w:rsidRDefault="000B5020" w:rsidP="000B5020">
      <w:pPr>
        <w:pStyle w:val="Textoindependienteprimerasangra"/>
        <w:jc w:val="both"/>
        <w:rPr>
          <w:rFonts w:asciiTheme="minorHAnsi" w:hAnsiTheme="minorHAnsi" w:cstheme="minorHAnsi"/>
          <w:color w:val="767171" w:themeColor="background2" w:themeShade="80"/>
          <w:sz w:val="20"/>
          <w:szCs w:val="20"/>
        </w:rPr>
      </w:pPr>
    </w:p>
    <w:p w:rsidR="000B5020" w:rsidRDefault="000B5020" w:rsidP="000B5020">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0B5020" w:rsidRDefault="000B5020" w:rsidP="000B5020">
      <w:pPr>
        <w:pStyle w:val="Textoindependienteprimerasangra"/>
        <w:jc w:val="both"/>
        <w:rPr>
          <w:rFonts w:asciiTheme="minorHAnsi" w:hAnsiTheme="minorHAnsi" w:cstheme="minorHAnsi"/>
          <w:color w:val="767171" w:themeColor="background2" w:themeShade="80"/>
          <w:sz w:val="20"/>
          <w:szCs w:val="20"/>
        </w:rPr>
      </w:pPr>
    </w:p>
    <w:p w:rsidR="000B5020" w:rsidRDefault="000B5020" w:rsidP="000B5020">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quien da fe.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20"/>
    <w:rsid w:val="000B5020"/>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28E31-D85B-4359-AA32-553926B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020"/>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0B50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B5020"/>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0B5020"/>
    <w:pPr>
      <w:jc w:val="both"/>
    </w:pPr>
    <w:rPr>
      <w:lang w:val="es-MX"/>
    </w:rPr>
  </w:style>
  <w:style w:type="character" w:customStyle="1" w:styleId="TextoindependienteCar">
    <w:name w:val="Texto independiente Car"/>
    <w:basedOn w:val="Fuentedeprrafopredeter"/>
    <w:link w:val="Textoindependiente"/>
    <w:rsid w:val="000B502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B502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B5020"/>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0B5020"/>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0B5020"/>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0B5020"/>
    <w:rPr>
      <w:rFonts w:ascii="Times New Roman" w:eastAsia="Times New Roman" w:hAnsi="Times New Roman" w:cs="Times New Roman"/>
      <w:sz w:val="24"/>
      <w:szCs w:val="24"/>
      <w:lang w:val="es-ES" w:eastAsia="es-ES"/>
    </w:rPr>
  </w:style>
  <w:style w:type="paragraph" w:customStyle="1" w:styleId="Normal0">
    <w:name w:val="[Normal]"/>
    <w:semiHidden/>
    <w:rsid w:val="000B502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0B5020"/>
    <w:rPr>
      <w:b/>
      <w:bCs/>
    </w:rPr>
  </w:style>
  <w:style w:type="character" w:styleId="nfasis">
    <w:name w:val="Emphasis"/>
    <w:basedOn w:val="Fuentedeprrafopredeter"/>
    <w:uiPriority w:val="20"/>
    <w:qFormat/>
    <w:rsid w:val="000B5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2899</Words>
  <Characters>15945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2017-09-01T16:49:00Z</dcterms:created>
  <dcterms:modified xsi:type="dcterms:W3CDTF">2017-09-01T16:50:00Z</dcterms:modified>
</cp:coreProperties>
</file>